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D0" w:rsidRPr="00E237E9" w:rsidRDefault="006020D0" w:rsidP="007E79F8">
      <w:pPr>
        <w:jc w:val="left"/>
        <w:rPr>
          <w:rFonts w:ascii="ＭＳ Ｐ明朝" w:eastAsia="ＭＳ Ｐ明朝" w:hAnsi="ＭＳ Ｐ明朝"/>
          <w:b/>
          <w:szCs w:val="21"/>
        </w:rPr>
      </w:pPr>
      <w:r w:rsidRPr="00E237E9">
        <w:rPr>
          <w:rFonts w:ascii="ＭＳ Ｐ明朝" w:eastAsia="ＭＳ Ｐ明朝" w:hAnsi="ＭＳ Ｐ明朝" w:hint="eastAsia"/>
          <w:szCs w:val="21"/>
        </w:rPr>
        <w:t>３</w:t>
      </w:r>
      <w:r w:rsidR="007E79F8" w:rsidRPr="00E237E9">
        <w:rPr>
          <w:rFonts w:ascii="ＭＳ Ｐ明朝" w:eastAsia="ＭＳ Ｐ明朝" w:hAnsi="ＭＳ Ｐ明朝" w:hint="eastAsia"/>
          <w:szCs w:val="21"/>
        </w:rPr>
        <w:t>）</w:t>
      </w:r>
      <w:r w:rsidR="007E79F8" w:rsidRPr="00E237E9">
        <w:rPr>
          <w:rFonts w:ascii="ＭＳ Ｐ明朝" w:eastAsia="ＭＳ Ｐ明朝" w:hAnsi="ＭＳ Ｐ明朝" w:hint="eastAsia"/>
          <w:b/>
          <w:szCs w:val="21"/>
        </w:rPr>
        <w:t>化学技術事例研究</w:t>
      </w:r>
      <w:r w:rsidR="00927E3D" w:rsidRPr="00E237E9">
        <w:rPr>
          <w:rFonts w:ascii="ＭＳ Ｐ明朝" w:eastAsia="ＭＳ Ｐ明朝" w:hAnsi="ＭＳ Ｐ明朝" w:hint="eastAsia"/>
          <w:b/>
          <w:szCs w:val="21"/>
        </w:rPr>
        <w:t xml:space="preserve"> (VT513)</w:t>
      </w:r>
      <w:r w:rsidR="00CE0959">
        <w:rPr>
          <w:rFonts w:ascii="ＭＳ Ｐ明朝" w:eastAsia="ＭＳ Ｐ明朝" w:hAnsi="ＭＳ Ｐ明朝" w:hint="eastAsia"/>
          <w:b/>
          <w:szCs w:val="21"/>
        </w:rPr>
        <w:t xml:space="preserve">　―</w:t>
      </w:r>
      <w:r w:rsidR="00CE0959" w:rsidRPr="00CE0959">
        <w:rPr>
          <w:rFonts w:ascii="ＭＳ Ｐ明朝" w:eastAsia="ＭＳ Ｐ明朝" w:hAnsi="ＭＳ Ｐ明朝" w:hint="eastAsia"/>
          <w:b/>
          <w:szCs w:val="21"/>
        </w:rPr>
        <w:t>研究の工業化の成功と失敗事例から成功の羅針盤を探る</w:t>
      </w:r>
    </w:p>
    <w:p w:rsidR="00CE0959" w:rsidRDefault="00CE0959" w:rsidP="006020D0">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00D973A2">
        <w:rPr>
          <w:rFonts w:ascii="ＭＳ Ｐ明朝" w:eastAsia="ＭＳ Ｐ明朝" w:hAnsi="ＭＳ Ｐ明朝" w:hint="eastAsia"/>
          <w:szCs w:val="21"/>
        </w:rPr>
        <w:t xml:space="preserve"> </w:t>
      </w:r>
      <w:r w:rsidRPr="00CE0959">
        <w:rPr>
          <w:rFonts w:ascii="ＭＳ Ｐ明朝" w:eastAsia="ＭＳ Ｐ明朝" w:hAnsi="ＭＳ Ｐ明朝" w:hint="eastAsia"/>
          <w:szCs w:val="21"/>
        </w:rPr>
        <w:t>研究で事業の種を見出しても、事業を成功させるまでには越えなければならない幾つもの障害が存在する。この障害を越えて成功に導く方程式</w:t>
      </w:r>
      <w:r w:rsidR="00D973A2">
        <w:rPr>
          <w:rFonts w:ascii="ＭＳ Ｐ明朝" w:eastAsia="ＭＳ Ｐ明朝" w:hAnsi="ＭＳ Ｐ明朝" w:hint="eastAsia"/>
          <w:szCs w:val="21"/>
        </w:rPr>
        <w:t>の解</w:t>
      </w:r>
      <w:r w:rsidRPr="00CE0959">
        <w:rPr>
          <w:rFonts w:ascii="ＭＳ Ｐ明朝" w:eastAsia="ＭＳ Ｐ明朝" w:hAnsi="ＭＳ Ｐ明朝" w:hint="eastAsia"/>
          <w:szCs w:val="21"/>
        </w:rPr>
        <w:t>はないが、多くの事例を学ぶことによって成功の羅針盤が見えてくる。企業で様々な分野の技術開発に携わった講師が、自らの成功体験、失敗体験を当時の社会的な背景を踏まえながら紹介し、現役世代にも通用する成功への姿を語る。高度成長</w:t>
      </w:r>
      <w:r w:rsidR="00B719A4">
        <w:rPr>
          <w:rFonts w:ascii="ＭＳ Ｐ明朝" w:eastAsia="ＭＳ Ｐ明朝" w:hAnsi="ＭＳ Ｐ明朝" w:hint="eastAsia"/>
          <w:szCs w:val="21"/>
        </w:rPr>
        <w:t>を支えたシニア世代から技術開発の</w:t>
      </w:r>
      <w:r w:rsidR="00D973A2">
        <w:rPr>
          <w:rFonts w:ascii="ＭＳ Ｐ明朝" w:eastAsia="ＭＳ Ｐ明朝" w:hAnsi="ＭＳ Ｐ明朝" w:hint="eastAsia"/>
          <w:szCs w:val="21"/>
        </w:rPr>
        <w:t>「</w:t>
      </w:r>
      <w:r w:rsidR="00B719A4">
        <w:rPr>
          <w:rFonts w:ascii="ＭＳ Ｐ明朝" w:eastAsia="ＭＳ Ｐ明朝" w:hAnsi="ＭＳ Ｐ明朝" w:hint="eastAsia"/>
          <w:szCs w:val="21"/>
        </w:rPr>
        <w:t>苦労</w:t>
      </w:r>
      <w:r w:rsidR="00D973A2">
        <w:rPr>
          <w:rFonts w:ascii="ＭＳ Ｐ明朝" w:eastAsia="ＭＳ Ｐ明朝" w:hAnsi="ＭＳ Ｐ明朝" w:hint="eastAsia"/>
          <w:szCs w:val="21"/>
        </w:rPr>
        <w:t>の</w:t>
      </w:r>
      <w:r w:rsidR="00B719A4">
        <w:rPr>
          <w:rFonts w:ascii="ＭＳ Ｐ明朝" w:eastAsia="ＭＳ Ｐ明朝" w:hAnsi="ＭＳ Ｐ明朝" w:hint="eastAsia"/>
          <w:szCs w:val="21"/>
        </w:rPr>
        <w:t>道筋</w:t>
      </w:r>
      <w:r w:rsidR="00D973A2">
        <w:rPr>
          <w:rFonts w:ascii="ＭＳ Ｐ明朝" w:eastAsia="ＭＳ Ｐ明朝" w:hAnsi="ＭＳ Ｐ明朝" w:hint="eastAsia"/>
          <w:szCs w:val="21"/>
        </w:rPr>
        <w:t>」</w:t>
      </w:r>
      <w:r w:rsidR="00B719A4">
        <w:rPr>
          <w:rFonts w:ascii="ＭＳ Ｐ明朝" w:eastAsia="ＭＳ Ｐ明朝" w:hAnsi="ＭＳ Ｐ明朝" w:hint="eastAsia"/>
          <w:szCs w:val="21"/>
        </w:rPr>
        <w:t>を知ることにより、研究の</w:t>
      </w:r>
      <w:r w:rsidRPr="00CE0959">
        <w:rPr>
          <w:rFonts w:ascii="ＭＳ Ｐ明朝" w:eastAsia="ＭＳ Ｐ明朝" w:hAnsi="ＭＳ Ｐ明朝" w:hint="eastAsia"/>
          <w:szCs w:val="21"/>
        </w:rPr>
        <w:t>工業化</w:t>
      </w:r>
      <w:r w:rsidR="00D973A2">
        <w:rPr>
          <w:rFonts w:ascii="ＭＳ Ｐ明朝" w:eastAsia="ＭＳ Ｐ明朝" w:hAnsi="ＭＳ Ｐ明朝" w:hint="eastAsia"/>
          <w:szCs w:val="21"/>
        </w:rPr>
        <w:t>での</w:t>
      </w:r>
      <w:r w:rsidRPr="00CE0959">
        <w:rPr>
          <w:rFonts w:ascii="ＭＳ Ｐ明朝" w:eastAsia="ＭＳ Ｐ明朝" w:hAnsi="ＭＳ Ｐ明朝" w:hint="eastAsia"/>
          <w:szCs w:val="21"/>
        </w:rPr>
        <w:t>成功</w:t>
      </w:r>
      <w:r w:rsidR="00B719A4">
        <w:rPr>
          <w:rFonts w:ascii="ＭＳ Ｐ明朝" w:eastAsia="ＭＳ Ｐ明朝" w:hAnsi="ＭＳ Ｐ明朝" w:hint="eastAsia"/>
          <w:szCs w:val="21"/>
        </w:rPr>
        <w:t>の</w:t>
      </w:r>
      <w:r w:rsidRPr="00CE0959">
        <w:rPr>
          <w:rFonts w:ascii="ＭＳ Ｐ明朝" w:eastAsia="ＭＳ Ｐ明朝" w:hAnsi="ＭＳ Ｐ明朝" w:hint="eastAsia"/>
          <w:szCs w:val="21"/>
        </w:rPr>
        <w:t>ヒントを汲みとる</w:t>
      </w:r>
      <w:r>
        <w:rPr>
          <w:rFonts w:ascii="ＭＳ Ｐ明朝" w:eastAsia="ＭＳ Ｐ明朝" w:hAnsi="ＭＳ Ｐ明朝" w:hint="eastAsia"/>
          <w:szCs w:val="21"/>
        </w:rPr>
        <w:t>ことを目的とした</w:t>
      </w:r>
      <w:r w:rsidRPr="00CE0959">
        <w:rPr>
          <w:rFonts w:ascii="ＭＳ Ｐ明朝" w:eastAsia="ＭＳ Ｐ明朝" w:hAnsi="ＭＳ Ｐ明朝" w:hint="eastAsia"/>
          <w:szCs w:val="21"/>
        </w:rPr>
        <w:t>。</w:t>
      </w:r>
      <w:r w:rsidR="00173ACA">
        <w:rPr>
          <w:rFonts w:ascii="ＭＳ Ｐ明朝" w:eastAsia="ＭＳ Ｐ明朝" w:hAnsi="ＭＳ Ｐ明朝" w:hint="eastAsia"/>
          <w:szCs w:val="21"/>
        </w:rPr>
        <w:t>2012年度実施した講義を表３</w:t>
      </w:r>
      <w:r w:rsidR="00D24AA0" w:rsidRPr="00D24AA0">
        <w:rPr>
          <w:rFonts w:ascii="ＭＳ Ｐ明朝" w:eastAsia="ＭＳ Ｐ明朝" w:hAnsi="ＭＳ Ｐ明朝" w:hint="eastAsia"/>
          <w:color w:val="FF0000"/>
          <w:szCs w:val="21"/>
        </w:rPr>
        <w:t>に</w:t>
      </w:r>
      <w:r w:rsidR="00173ACA">
        <w:rPr>
          <w:rFonts w:ascii="ＭＳ Ｐ明朝" w:eastAsia="ＭＳ Ｐ明朝" w:hAnsi="ＭＳ Ｐ明朝" w:hint="eastAsia"/>
          <w:szCs w:val="21"/>
        </w:rPr>
        <w:t>掲げる。</w:t>
      </w:r>
    </w:p>
    <w:p w:rsidR="00DE42A6" w:rsidRPr="00DE42A6" w:rsidRDefault="00DE42A6" w:rsidP="00086A88">
      <w:pPr>
        <w:jc w:val="left"/>
      </w:pPr>
      <w:r>
        <w:rPr>
          <w:rFonts w:hint="eastAsia"/>
        </w:rPr>
        <w:t>表３</w:t>
      </w:r>
    </w:p>
    <w:tbl>
      <w:tblPr>
        <w:tblStyle w:val="ab"/>
        <w:tblW w:w="8500" w:type="dxa"/>
        <w:tblLayout w:type="fixed"/>
        <w:tblLook w:val="04A0" w:firstRow="1" w:lastRow="0" w:firstColumn="1" w:lastColumn="0" w:noHBand="0" w:noVBand="1"/>
      </w:tblPr>
      <w:tblGrid>
        <w:gridCol w:w="421"/>
        <w:gridCol w:w="2693"/>
        <w:gridCol w:w="5386"/>
      </w:tblGrid>
      <w:tr w:rsidR="00CE0959" w:rsidTr="00CE0959">
        <w:tc>
          <w:tcPr>
            <w:tcW w:w="8500" w:type="dxa"/>
            <w:gridSpan w:val="3"/>
            <w:tcBorders>
              <w:right w:val="single" w:sz="4" w:space="0" w:color="auto"/>
            </w:tcBorders>
          </w:tcPr>
          <w:p w:rsidR="00CE0959" w:rsidRPr="00DB6EA5" w:rsidRDefault="00CE0959" w:rsidP="00DB6EA5">
            <w:pPr>
              <w:autoSpaceDE w:val="0"/>
              <w:autoSpaceDN w:val="0"/>
              <w:adjustRightInd w:val="0"/>
              <w:jc w:val="left"/>
              <w:rPr>
                <w:rFonts w:ascii="ＭＳ Ｐゴシック" w:eastAsia="ＭＳ Ｐゴシック" w:hAnsi="ＭＳ Ｐゴシック" w:cs="ＭＳ"/>
                <w:b/>
                <w:color w:val="000000"/>
                <w:kern w:val="0"/>
                <w:szCs w:val="21"/>
              </w:rPr>
            </w:pPr>
            <w:r w:rsidRPr="00DB6EA5">
              <w:rPr>
                <w:rFonts w:ascii="ＭＳ Ｐゴシック" w:eastAsia="ＭＳ Ｐゴシック" w:hAnsi="ＭＳ Ｐゴシック" w:hint="eastAsia"/>
                <w:b/>
                <w:szCs w:val="21"/>
              </w:rPr>
              <w:t>化学技術事例研究(</w:t>
            </w:r>
            <w:r w:rsidR="00DE42A6" w:rsidRPr="00DB6EA5">
              <w:rPr>
                <w:rFonts w:ascii="ＭＳ Ｐゴシック" w:eastAsia="ＭＳ Ｐゴシック" w:hAnsi="ＭＳ Ｐゴシック" w:hint="eastAsia"/>
                <w:b/>
                <w:szCs w:val="21"/>
              </w:rPr>
              <w:t>2012年実施</w:t>
            </w:r>
            <w:r w:rsidRPr="00DB6EA5">
              <w:rPr>
                <w:rFonts w:ascii="ＭＳ Ｐゴシック" w:eastAsia="ＭＳ Ｐゴシック" w:hAnsi="ＭＳ Ｐゴシック" w:hint="eastAsia"/>
                <w:b/>
                <w:szCs w:val="21"/>
              </w:rPr>
              <w:t>)</w:t>
            </w:r>
            <w:r w:rsidR="00DE42A6" w:rsidRPr="00DB6EA5">
              <w:rPr>
                <w:rFonts w:ascii="ＭＳ Ｐゴシック" w:eastAsia="ＭＳ Ｐゴシック" w:hAnsi="ＭＳ Ｐゴシック" w:hint="eastAsia"/>
                <w:b/>
                <w:szCs w:val="21"/>
              </w:rPr>
              <w:t>―</w:t>
            </w:r>
            <w:r w:rsidR="00DE42A6" w:rsidRPr="00DB6EA5">
              <w:rPr>
                <w:rFonts w:ascii="ＭＳ Ｐ明朝" w:eastAsia="ＭＳ Ｐ明朝" w:hAnsi="ＭＳ Ｐ明朝" w:hint="eastAsia"/>
                <w:b/>
                <w:szCs w:val="21"/>
              </w:rPr>
              <w:t>研究の工業化の成功と失敗事例から成功の羅針盤を探る</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w:t>
            </w:r>
          </w:p>
        </w:tc>
        <w:tc>
          <w:tcPr>
            <w:tcW w:w="2693" w:type="dxa"/>
            <w:vMerge w:val="restart"/>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CE0959">
              <w:rPr>
                <w:rFonts w:ascii="ＭＳ Ｐゴシック" w:eastAsia="ＭＳ Ｐゴシック" w:hAnsi="ＭＳ Ｐゴシック" w:cs="ＭＳ" w:hint="eastAsia"/>
                <w:color w:val="000000"/>
                <w:kern w:val="0"/>
                <w:sz w:val="18"/>
                <w:szCs w:val="18"/>
              </w:rPr>
              <w:t>総論</w:t>
            </w:r>
          </w:p>
        </w:tc>
        <w:tc>
          <w:tcPr>
            <w:tcW w:w="5386" w:type="dxa"/>
            <w:tcBorders>
              <w:right w:val="single" w:sz="4" w:space="0" w:color="auto"/>
            </w:tcBorders>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cs="ＭＳ" w:hint="eastAsia"/>
                <w:color w:val="000000"/>
                <w:kern w:val="0"/>
                <w:sz w:val="18"/>
                <w:szCs w:val="18"/>
              </w:rPr>
              <w:t>変わりつつある化学工業の事業分野と技術開発</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2</w:t>
            </w:r>
          </w:p>
        </w:tc>
        <w:tc>
          <w:tcPr>
            <w:tcW w:w="2693" w:type="dxa"/>
            <w:vMerge/>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315459" w:rsidRPr="00927E3D" w:rsidRDefault="003154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化学プラントのスケールアップ理論と教訓</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3</w:t>
            </w:r>
          </w:p>
        </w:tc>
        <w:tc>
          <w:tcPr>
            <w:tcW w:w="2693" w:type="dxa"/>
            <w:vMerge w:val="restart"/>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CE0959">
              <w:rPr>
                <w:rFonts w:ascii="ＭＳ Ｐゴシック" w:eastAsia="ＭＳ Ｐゴシック" w:hAnsi="ＭＳ Ｐゴシック" w:cs="ＭＳ" w:hint="eastAsia"/>
                <w:color w:val="000000"/>
                <w:kern w:val="0"/>
                <w:sz w:val="18"/>
                <w:szCs w:val="18"/>
              </w:rPr>
              <w:t>事例研究（１）</w:t>
            </w:r>
            <w:r>
              <w:rPr>
                <w:rFonts w:ascii="ＭＳ Ｐゴシック" w:eastAsia="ＭＳ Ｐゴシック" w:hAnsi="ＭＳ Ｐゴシック" w:cs="ＭＳ" w:hint="eastAsia"/>
                <w:color w:val="000000"/>
                <w:kern w:val="0"/>
                <w:sz w:val="18"/>
                <w:szCs w:val="18"/>
              </w:rPr>
              <w:t xml:space="preserve">　</w:t>
            </w:r>
            <w:r w:rsidR="00173ACA">
              <w:rPr>
                <w:rFonts w:ascii="ＭＳ Ｐゴシック" w:eastAsia="ＭＳ Ｐゴシック" w:hAnsi="ＭＳ Ｐゴシック" w:cs="ＭＳ" w:hint="eastAsia"/>
                <w:color w:val="000000"/>
                <w:kern w:val="0"/>
                <w:sz w:val="18"/>
                <w:szCs w:val="18"/>
              </w:rPr>
              <w:t xml:space="preserve">　　　　　　　　　　</w:t>
            </w:r>
            <w:r>
              <w:rPr>
                <w:rFonts w:ascii="ＭＳ Ｐゴシック" w:eastAsia="ＭＳ Ｐゴシック" w:hAnsi="ＭＳ Ｐゴシック" w:cs="ＭＳ" w:hint="eastAsia"/>
                <w:color w:val="000000"/>
                <w:kern w:val="0"/>
                <w:sz w:val="18"/>
                <w:szCs w:val="18"/>
              </w:rPr>
              <w:t>プロセス開発</w:t>
            </w: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中堅化学会社の研究開発経営</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4</w:t>
            </w:r>
          </w:p>
        </w:tc>
        <w:tc>
          <w:tcPr>
            <w:tcW w:w="2693" w:type="dxa"/>
            <w:vMerge/>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合繊企業におけるケミカル・新規事業製品の成功と失敗の事例</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5</w:t>
            </w:r>
          </w:p>
        </w:tc>
        <w:tc>
          <w:tcPr>
            <w:tcW w:w="2693" w:type="dxa"/>
            <w:vMerge/>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デスバレイ（死の谷）を越えたものと落ちたもの</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6</w:t>
            </w:r>
          </w:p>
        </w:tc>
        <w:tc>
          <w:tcPr>
            <w:tcW w:w="2693" w:type="dxa"/>
            <w:vMerge/>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廃タイヤの熱分解による資源化技術</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7</w:t>
            </w:r>
          </w:p>
        </w:tc>
        <w:tc>
          <w:tcPr>
            <w:tcW w:w="2693" w:type="dxa"/>
            <w:vMerge/>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927E3D">
              <w:rPr>
                <w:rFonts w:ascii="ＭＳ Ｐゴシック" w:eastAsia="ＭＳ Ｐゴシック" w:hAnsi="ＭＳ Ｐゴシック" w:cs="ＭＳ" w:hint="eastAsia"/>
                <w:color w:val="000000"/>
                <w:kern w:val="0"/>
                <w:sz w:val="18"/>
                <w:szCs w:val="18"/>
              </w:rPr>
              <w:t>アミノ酸発酵工程の連続化の効用と問題点</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8</w:t>
            </w:r>
          </w:p>
        </w:tc>
        <w:tc>
          <w:tcPr>
            <w:tcW w:w="2693" w:type="dxa"/>
            <w:vMerge/>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CE0959" w:rsidRPr="00927E3D" w:rsidRDefault="00315459" w:rsidP="005502EB">
            <w:pPr>
              <w:autoSpaceDE w:val="0"/>
              <w:autoSpaceDN w:val="0"/>
              <w:adjustRightInd w:val="0"/>
              <w:jc w:val="left"/>
              <w:rPr>
                <w:rFonts w:ascii="ＭＳ Ｐゴシック" w:eastAsia="ＭＳ Ｐゴシック" w:hAnsi="ＭＳ Ｐゴシック" w:cs="‚l‚r"/>
                <w:color w:val="000000"/>
                <w:kern w:val="0"/>
                <w:sz w:val="18"/>
                <w:szCs w:val="18"/>
              </w:rPr>
            </w:pPr>
            <w:r w:rsidRPr="00315459">
              <w:rPr>
                <w:rFonts w:ascii="ＭＳ Ｐゴシック" w:eastAsia="ＭＳ Ｐゴシック" w:hAnsi="ＭＳ Ｐゴシック" w:cs="‚l‚r" w:hint="eastAsia"/>
                <w:color w:val="000000"/>
                <w:kern w:val="0"/>
                <w:sz w:val="18"/>
                <w:szCs w:val="18"/>
              </w:rPr>
              <w:t>インターフェロン開発物語</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9</w:t>
            </w:r>
          </w:p>
        </w:tc>
        <w:tc>
          <w:tcPr>
            <w:tcW w:w="2693" w:type="dxa"/>
            <w:vMerge w:val="restart"/>
          </w:tcPr>
          <w:p w:rsidR="00315459" w:rsidRPr="00927E3D" w:rsidRDefault="00315459" w:rsidP="00CE0959">
            <w:pPr>
              <w:autoSpaceDE w:val="0"/>
              <w:autoSpaceDN w:val="0"/>
              <w:adjustRightInd w:val="0"/>
              <w:jc w:val="left"/>
              <w:rPr>
                <w:rFonts w:ascii="ＭＳ Ｐゴシック" w:eastAsia="ＭＳ Ｐゴシック" w:hAnsi="ＭＳ Ｐゴシック" w:cs="ＭＳ"/>
                <w:color w:val="000000"/>
                <w:kern w:val="0"/>
                <w:sz w:val="18"/>
                <w:szCs w:val="18"/>
              </w:rPr>
            </w:pPr>
            <w:r w:rsidRPr="00CE0959">
              <w:rPr>
                <w:rFonts w:ascii="ＭＳ Ｐゴシック" w:eastAsia="ＭＳ Ｐゴシック" w:hAnsi="ＭＳ Ｐゴシック" w:cs="ＭＳ" w:hint="eastAsia"/>
                <w:color w:val="000000"/>
                <w:kern w:val="0"/>
                <w:sz w:val="18"/>
                <w:szCs w:val="18"/>
              </w:rPr>
              <w:t>事例研究（２）</w:t>
            </w:r>
            <w:r>
              <w:rPr>
                <w:rFonts w:ascii="ＭＳ Ｐゴシック" w:eastAsia="ＭＳ Ｐゴシック" w:hAnsi="ＭＳ Ｐゴシック" w:cs="ＭＳ" w:hint="eastAsia"/>
                <w:color w:val="000000"/>
                <w:kern w:val="0"/>
                <w:sz w:val="18"/>
                <w:szCs w:val="18"/>
              </w:rPr>
              <w:t xml:space="preserve">　</w:t>
            </w:r>
            <w:r w:rsidR="00173ACA">
              <w:rPr>
                <w:rFonts w:ascii="ＭＳ Ｐゴシック" w:eastAsia="ＭＳ Ｐゴシック" w:hAnsi="ＭＳ Ｐゴシック" w:cs="ＭＳ" w:hint="eastAsia"/>
                <w:color w:val="000000"/>
                <w:kern w:val="0"/>
                <w:sz w:val="18"/>
                <w:szCs w:val="18"/>
              </w:rPr>
              <w:t xml:space="preserve">　　　　　　　　　　</w:t>
            </w:r>
            <w:r w:rsidRPr="00CE0959">
              <w:rPr>
                <w:rFonts w:ascii="ＭＳ Ｐゴシック" w:eastAsia="ＭＳ Ｐゴシック" w:hAnsi="ＭＳ Ｐゴシック" w:cs="ＭＳ" w:hint="eastAsia"/>
                <w:color w:val="000000"/>
                <w:kern w:val="0"/>
                <w:sz w:val="18"/>
                <w:szCs w:val="18"/>
              </w:rPr>
              <w:t>工学的解析の実用化</w:t>
            </w:r>
          </w:p>
        </w:tc>
        <w:tc>
          <w:tcPr>
            <w:tcW w:w="5386" w:type="dxa"/>
            <w:tcBorders>
              <w:right w:val="single" w:sz="4" w:space="0" w:color="auto"/>
            </w:tcBorders>
          </w:tcPr>
          <w:p w:rsidR="00315459"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cs="ＭＳ" w:hint="eastAsia"/>
                <w:color w:val="000000"/>
                <w:kern w:val="0"/>
                <w:sz w:val="18"/>
                <w:szCs w:val="18"/>
              </w:rPr>
              <w:t>トライ＆エラ－のみの工業化技術を化学工学的手法で解決した実例</w:t>
            </w:r>
          </w:p>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315459">
              <w:rPr>
                <w:rFonts w:ascii="ＭＳ Ｐゴシック" w:eastAsia="ＭＳ Ｐゴシック" w:hAnsi="ＭＳ Ｐゴシック" w:cs="ＭＳ" w:hint="eastAsia"/>
                <w:color w:val="000000"/>
                <w:kern w:val="0"/>
                <w:sz w:val="18"/>
                <w:szCs w:val="18"/>
              </w:rPr>
              <w:t>―重質油の加熱操作におけるコーキング</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10</w:t>
            </w:r>
          </w:p>
        </w:tc>
        <w:tc>
          <w:tcPr>
            <w:tcW w:w="2693" w:type="dxa"/>
            <w:vMerge/>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bottom w:val="single" w:sz="4" w:space="0" w:color="auto"/>
              <w:right w:val="single" w:sz="4" w:space="0" w:color="auto"/>
            </w:tcBorders>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cs="ＭＳ" w:hint="eastAsia"/>
                <w:color w:val="000000"/>
                <w:kern w:val="0"/>
                <w:sz w:val="18"/>
                <w:szCs w:val="18"/>
              </w:rPr>
              <w:t>高粘度の新しい測定法とその制御・工業化</w:t>
            </w:r>
            <w:r w:rsidR="00173ACA">
              <w:rPr>
                <w:rFonts w:ascii="ＭＳ Ｐゴシック" w:eastAsia="ＭＳ Ｐゴシック" w:hAnsi="ＭＳ Ｐゴシック" w:cs="ＭＳ" w:hint="eastAsia"/>
                <w:color w:val="000000"/>
                <w:kern w:val="0"/>
                <w:sz w:val="18"/>
                <w:szCs w:val="18"/>
              </w:rPr>
              <w:t xml:space="preserve">　　　　　　　　　　　　　　　</w:t>
            </w:r>
            <w:r w:rsidRPr="00927E3D">
              <w:rPr>
                <w:rFonts w:ascii="ＭＳ Ｐゴシック" w:eastAsia="ＭＳ Ｐゴシック" w:hAnsi="ＭＳ Ｐゴシック" w:cs="ＭＳ" w:hint="eastAsia"/>
                <w:color w:val="000000"/>
                <w:kern w:val="0"/>
                <w:sz w:val="18"/>
                <w:szCs w:val="18"/>
              </w:rPr>
              <w:t>―</w:t>
            </w:r>
            <w:r w:rsidRPr="00927E3D">
              <w:rPr>
                <w:rFonts w:ascii="ＭＳ Ｐゴシック" w:eastAsia="ＭＳ Ｐゴシック" w:hAnsi="ＭＳ Ｐゴシック" w:cs="ＭＳ"/>
                <w:color w:val="000000"/>
                <w:kern w:val="0"/>
                <w:sz w:val="18"/>
                <w:szCs w:val="18"/>
              </w:rPr>
              <w:t xml:space="preserve"> </w:t>
            </w:r>
            <w:r w:rsidRPr="00927E3D">
              <w:rPr>
                <w:rFonts w:ascii="ＭＳ Ｐゴシック" w:eastAsia="ＭＳ Ｐゴシック" w:hAnsi="ＭＳ Ｐゴシック" w:cs="ＭＳ" w:hint="eastAsia"/>
                <w:color w:val="000000"/>
                <w:kern w:val="0"/>
                <w:sz w:val="18"/>
                <w:szCs w:val="18"/>
              </w:rPr>
              <w:t>チーズ製造プロセスの連続化</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11</w:t>
            </w:r>
          </w:p>
        </w:tc>
        <w:tc>
          <w:tcPr>
            <w:tcW w:w="2693" w:type="dxa"/>
            <w:vMerge w:val="restart"/>
          </w:tcPr>
          <w:p w:rsidR="00315459" w:rsidRPr="00927E3D" w:rsidRDefault="00315459" w:rsidP="00173ACA">
            <w:pPr>
              <w:autoSpaceDE w:val="0"/>
              <w:autoSpaceDN w:val="0"/>
              <w:adjustRightInd w:val="0"/>
              <w:jc w:val="left"/>
              <w:rPr>
                <w:rFonts w:ascii="ＭＳ Ｐゴシック" w:eastAsia="ＭＳ Ｐゴシック" w:hAnsi="ＭＳ Ｐゴシック" w:cs="ＭＳ"/>
                <w:color w:val="000000"/>
                <w:kern w:val="0"/>
                <w:sz w:val="18"/>
                <w:szCs w:val="18"/>
              </w:rPr>
            </w:pPr>
            <w:r w:rsidRPr="00CE0959">
              <w:rPr>
                <w:rFonts w:ascii="ＭＳ Ｐゴシック" w:eastAsia="ＭＳ Ｐゴシック" w:hAnsi="ＭＳ Ｐゴシック" w:cs="ＭＳ" w:hint="eastAsia"/>
                <w:color w:val="000000"/>
                <w:kern w:val="0"/>
                <w:sz w:val="18"/>
                <w:szCs w:val="18"/>
              </w:rPr>
              <w:t>事例研究（３）</w:t>
            </w:r>
            <w:r w:rsidR="00173ACA">
              <w:rPr>
                <w:rFonts w:ascii="ＭＳ Ｐゴシック" w:eastAsia="ＭＳ Ｐゴシック" w:hAnsi="ＭＳ Ｐゴシック" w:cs="ＭＳ" w:hint="eastAsia"/>
                <w:color w:val="000000"/>
                <w:kern w:val="0"/>
                <w:sz w:val="18"/>
                <w:szCs w:val="18"/>
              </w:rPr>
              <w:t xml:space="preserve">　</w:t>
            </w:r>
            <w:r>
              <w:rPr>
                <w:rFonts w:ascii="ＭＳ Ｐゴシック" w:eastAsia="ＭＳ Ｐゴシック" w:hAnsi="ＭＳ Ｐゴシック" w:cs="ＭＳ" w:hint="eastAsia"/>
                <w:color w:val="000000"/>
                <w:kern w:val="0"/>
                <w:sz w:val="18"/>
                <w:szCs w:val="18"/>
              </w:rPr>
              <w:t>装置開発</w:t>
            </w:r>
          </w:p>
        </w:tc>
        <w:tc>
          <w:tcPr>
            <w:tcW w:w="5386" w:type="dxa"/>
            <w:tcBorders>
              <w:right w:val="single" w:sz="4" w:space="0" w:color="auto"/>
            </w:tcBorders>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cs="ＭＳ" w:hint="eastAsia"/>
                <w:color w:val="000000"/>
                <w:kern w:val="0"/>
                <w:sz w:val="18"/>
                <w:szCs w:val="18"/>
              </w:rPr>
              <w:t>工業用液体クロマト装置の工業化と事業化への挑戦</w:t>
            </w:r>
          </w:p>
        </w:tc>
      </w:tr>
      <w:tr w:rsidR="00315459" w:rsidTr="00CE0959">
        <w:tc>
          <w:tcPr>
            <w:tcW w:w="421" w:type="dxa"/>
          </w:tcPr>
          <w:p w:rsidR="00315459" w:rsidRPr="00947CFB" w:rsidRDefault="003154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12</w:t>
            </w:r>
          </w:p>
        </w:tc>
        <w:tc>
          <w:tcPr>
            <w:tcW w:w="2693" w:type="dxa"/>
            <w:vMerge/>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p>
        </w:tc>
        <w:tc>
          <w:tcPr>
            <w:tcW w:w="5386" w:type="dxa"/>
            <w:tcBorders>
              <w:right w:val="single" w:sz="4" w:space="0" w:color="auto"/>
            </w:tcBorders>
          </w:tcPr>
          <w:p w:rsidR="00315459" w:rsidRPr="00927E3D" w:rsidRDefault="003154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cs="ＭＳ" w:hint="eastAsia"/>
                <w:color w:val="000000"/>
                <w:kern w:val="0"/>
                <w:sz w:val="18"/>
                <w:szCs w:val="18"/>
              </w:rPr>
              <w:t>高効率撹拌翼の工業化</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w:t>
            </w:r>
            <w:r w:rsidRPr="00947CFB">
              <w:rPr>
                <w:rFonts w:ascii="ＭＳ Ｐゴシック" w:eastAsia="ＭＳ Ｐゴシック" w:hAnsi="ＭＳ Ｐゴシック" w:cs="‚l‚r"/>
                <w:color w:val="000000"/>
                <w:kern w:val="0"/>
                <w:sz w:val="20"/>
                <w:szCs w:val="20"/>
              </w:rPr>
              <w:t>3</w:t>
            </w:r>
          </w:p>
        </w:tc>
        <w:tc>
          <w:tcPr>
            <w:tcW w:w="2693" w:type="dxa"/>
          </w:tcPr>
          <w:p w:rsidR="00CE0959" w:rsidRPr="00927E3D" w:rsidRDefault="00CE0959" w:rsidP="005502EB">
            <w:pPr>
              <w:autoSpaceDE w:val="0"/>
              <w:autoSpaceDN w:val="0"/>
              <w:adjustRightInd w:val="0"/>
              <w:jc w:val="left"/>
              <w:rPr>
                <w:rFonts w:ascii="ＭＳ Ｐゴシック" w:eastAsia="ＭＳ Ｐゴシック" w:hAnsi="ＭＳ Ｐゴシック"/>
                <w:sz w:val="18"/>
                <w:szCs w:val="18"/>
              </w:rPr>
            </w:pPr>
            <w:r w:rsidRPr="00CE0959">
              <w:rPr>
                <w:rFonts w:ascii="ＭＳ Ｐゴシック" w:eastAsia="ＭＳ Ｐゴシック" w:hAnsi="ＭＳ Ｐゴシック" w:hint="eastAsia"/>
                <w:sz w:val="18"/>
                <w:szCs w:val="18"/>
              </w:rPr>
              <w:t>事例研究（４）</w:t>
            </w:r>
            <w:r>
              <w:rPr>
                <w:rFonts w:ascii="ＭＳ Ｐゴシック" w:eastAsia="ＭＳ Ｐゴシック" w:hAnsi="ＭＳ Ｐゴシック" w:hint="eastAsia"/>
                <w:sz w:val="18"/>
                <w:szCs w:val="18"/>
              </w:rPr>
              <w:t xml:space="preserve">　触媒開発</w:t>
            </w: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cs="ＭＳ"/>
                <w:color w:val="000000"/>
                <w:kern w:val="0"/>
                <w:sz w:val="18"/>
                <w:szCs w:val="18"/>
              </w:rPr>
            </w:pPr>
            <w:r w:rsidRPr="00927E3D">
              <w:rPr>
                <w:rFonts w:ascii="ＭＳ Ｐゴシック" w:eastAsia="ＭＳ Ｐゴシック" w:hAnsi="ＭＳ Ｐゴシック" w:hint="eastAsia"/>
                <w:sz w:val="18"/>
                <w:szCs w:val="18"/>
              </w:rPr>
              <w:t>酸化チタン系排煙脱硝触媒の開発</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14</w:t>
            </w:r>
          </w:p>
        </w:tc>
        <w:tc>
          <w:tcPr>
            <w:tcW w:w="2693" w:type="dxa"/>
          </w:tcPr>
          <w:p w:rsidR="00CE0959" w:rsidRPr="00927E3D" w:rsidRDefault="00CE0959" w:rsidP="00CE0959">
            <w:pPr>
              <w:autoSpaceDE w:val="0"/>
              <w:autoSpaceDN w:val="0"/>
              <w:adjustRightInd w:val="0"/>
              <w:jc w:val="left"/>
              <w:rPr>
                <w:rFonts w:ascii="ＭＳ Ｐゴシック" w:eastAsia="ＭＳ Ｐゴシック" w:hAnsi="ＭＳ Ｐゴシック"/>
                <w:sz w:val="18"/>
                <w:szCs w:val="18"/>
              </w:rPr>
            </w:pPr>
            <w:r w:rsidRPr="00CE0959">
              <w:rPr>
                <w:rFonts w:ascii="ＭＳ Ｐゴシック" w:eastAsia="ＭＳ Ｐゴシック" w:hAnsi="ＭＳ Ｐゴシック" w:hint="eastAsia"/>
                <w:sz w:val="18"/>
                <w:szCs w:val="18"/>
              </w:rPr>
              <w:t>事例研究（５）  防食技術</w:t>
            </w:r>
          </w:p>
        </w:tc>
        <w:tc>
          <w:tcPr>
            <w:tcW w:w="5386" w:type="dxa"/>
            <w:tcBorders>
              <w:right w:val="single" w:sz="4" w:space="0" w:color="auto"/>
            </w:tcBorders>
          </w:tcPr>
          <w:p w:rsidR="00CE0959" w:rsidRPr="00927E3D" w:rsidRDefault="00CE0959" w:rsidP="005502EB">
            <w:pPr>
              <w:autoSpaceDE w:val="0"/>
              <w:autoSpaceDN w:val="0"/>
              <w:adjustRightInd w:val="0"/>
              <w:jc w:val="left"/>
              <w:rPr>
                <w:rFonts w:ascii="ＭＳ Ｐゴシック" w:eastAsia="ＭＳ Ｐゴシック" w:hAnsi="ＭＳ Ｐゴシック"/>
                <w:sz w:val="18"/>
                <w:szCs w:val="18"/>
              </w:rPr>
            </w:pPr>
            <w:r w:rsidRPr="00927E3D">
              <w:rPr>
                <w:rFonts w:ascii="ＭＳ Ｐゴシック" w:eastAsia="ＭＳ Ｐゴシック" w:hAnsi="ＭＳ Ｐゴシック" w:hint="eastAsia"/>
                <w:sz w:val="18"/>
                <w:szCs w:val="18"/>
              </w:rPr>
              <w:t>ボイラの水処理の歴史を変えた酸素処理への挑戦と成功の記録</w:t>
            </w:r>
          </w:p>
        </w:tc>
      </w:tr>
      <w:tr w:rsidR="00CE0959" w:rsidTr="00CE0959">
        <w:tc>
          <w:tcPr>
            <w:tcW w:w="421" w:type="dxa"/>
          </w:tcPr>
          <w:p w:rsidR="00CE0959" w:rsidRPr="00947CFB" w:rsidRDefault="00CE0959" w:rsidP="005502EB">
            <w:pPr>
              <w:autoSpaceDE w:val="0"/>
              <w:autoSpaceDN w:val="0"/>
              <w:adjustRightInd w:val="0"/>
              <w:jc w:val="left"/>
              <w:rPr>
                <w:rFonts w:ascii="ＭＳ Ｐゴシック" w:eastAsia="ＭＳ Ｐゴシック" w:hAnsi="ＭＳ Ｐゴシック" w:cs="‚l‚r"/>
                <w:color w:val="000000"/>
                <w:kern w:val="0"/>
                <w:sz w:val="20"/>
                <w:szCs w:val="20"/>
              </w:rPr>
            </w:pPr>
            <w:r w:rsidRPr="00947CFB">
              <w:rPr>
                <w:rFonts w:ascii="ＭＳ Ｐゴシック" w:eastAsia="ＭＳ Ｐゴシック" w:hAnsi="ＭＳ Ｐゴシック" w:cs="‚l‚r" w:hint="eastAsia"/>
                <w:color w:val="000000"/>
                <w:kern w:val="0"/>
                <w:sz w:val="20"/>
                <w:szCs w:val="20"/>
              </w:rPr>
              <w:t>15</w:t>
            </w:r>
          </w:p>
        </w:tc>
        <w:tc>
          <w:tcPr>
            <w:tcW w:w="2693" w:type="dxa"/>
          </w:tcPr>
          <w:p w:rsidR="00CE0959" w:rsidRPr="00927E3D" w:rsidRDefault="00CE0959" w:rsidP="005502EB">
            <w:pPr>
              <w:autoSpaceDE w:val="0"/>
              <w:autoSpaceDN w:val="0"/>
              <w:adjustRightInd w:val="0"/>
              <w:jc w:val="left"/>
              <w:rPr>
                <w:rFonts w:ascii="ＭＳ Ｐゴシック" w:eastAsia="ＭＳ Ｐゴシック" w:hAnsi="ＭＳ Ｐゴシック"/>
                <w:sz w:val="18"/>
                <w:szCs w:val="18"/>
              </w:rPr>
            </w:pPr>
            <w:r w:rsidRPr="00CE0959">
              <w:rPr>
                <w:rFonts w:ascii="ＭＳ Ｐゴシック" w:eastAsia="ＭＳ Ｐゴシック" w:hAnsi="ＭＳ Ｐゴシック" w:hint="eastAsia"/>
                <w:sz w:val="18"/>
                <w:szCs w:val="18"/>
              </w:rPr>
              <w:t>まとめ</w:t>
            </w:r>
          </w:p>
        </w:tc>
        <w:tc>
          <w:tcPr>
            <w:tcW w:w="5386" w:type="dxa"/>
            <w:tcBorders>
              <w:right w:val="single" w:sz="4" w:space="0" w:color="auto"/>
            </w:tcBorders>
          </w:tcPr>
          <w:p w:rsidR="00CE0959" w:rsidRPr="00927E3D" w:rsidRDefault="00173ACA" w:rsidP="005502EB">
            <w:pPr>
              <w:autoSpaceDE w:val="0"/>
              <w:autoSpaceDN w:val="0"/>
              <w:adjustRightInd w:val="0"/>
              <w:jc w:val="left"/>
              <w:rPr>
                <w:rFonts w:ascii="ＭＳ Ｐゴシック" w:eastAsia="ＭＳ Ｐゴシック" w:hAnsi="ＭＳ Ｐゴシック"/>
                <w:sz w:val="18"/>
                <w:szCs w:val="18"/>
              </w:rPr>
            </w:pPr>
            <w:r w:rsidRPr="00173ACA">
              <w:rPr>
                <w:rFonts w:ascii="ＭＳ Ｐゴシック" w:eastAsia="ＭＳ Ｐゴシック" w:hAnsi="ＭＳ Ｐゴシック" w:hint="eastAsia"/>
                <w:sz w:val="18"/>
                <w:szCs w:val="18"/>
              </w:rPr>
              <w:t>企業の生き残りには技術開発による経営革新しかない</w:t>
            </w:r>
          </w:p>
        </w:tc>
      </w:tr>
    </w:tbl>
    <w:p w:rsidR="00086A88" w:rsidRPr="00086A88" w:rsidRDefault="00086A88" w:rsidP="006020D0">
      <w:pPr>
        <w:jc w:val="left"/>
        <w:rPr>
          <w:rFonts w:ascii="ＭＳ Ｐ明朝" w:eastAsia="ＭＳ Ｐ明朝" w:hAnsi="ＭＳ Ｐ明朝"/>
          <w:szCs w:val="21"/>
        </w:rPr>
      </w:pPr>
      <w:bookmarkStart w:id="0" w:name="_GoBack"/>
      <w:bookmarkEnd w:id="0"/>
    </w:p>
    <w:sectPr w:rsidR="00086A88" w:rsidRPr="00086A88" w:rsidSect="00EA2118">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B6" w:rsidRDefault="00ED46B6" w:rsidP="0071415C">
      <w:r>
        <w:separator/>
      </w:r>
    </w:p>
  </w:endnote>
  <w:endnote w:type="continuationSeparator" w:id="0">
    <w:p w:rsidR="00ED46B6" w:rsidRDefault="00ED46B6" w:rsidP="007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l‚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3584"/>
      <w:docPartObj>
        <w:docPartGallery w:val="Page Numbers (Bottom of Page)"/>
        <w:docPartUnique/>
      </w:docPartObj>
    </w:sdtPr>
    <w:sdtEndPr/>
    <w:sdtContent>
      <w:sdt>
        <w:sdtPr>
          <w:id w:val="46958467"/>
          <w:docPartObj>
            <w:docPartGallery w:val="Page Numbers (Top of Page)"/>
            <w:docPartUnique/>
          </w:docPartObj>
        </w:sdtPr>
        <w:sdtEndPr/>
        <w:sdtContent>
          <w:p w:rsidR="003F2B91" w:rsidRDefault="003F2B91">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C62217">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62217">
              <w:rPr>
                <w:b/>
                <w:noProof/>
              </w:rPr>
              <w:t>1</w:t>
            </w:r>
            <w:r>
              <w:rPr>
                <w:b/>
                <w:sz w:val="24"/>
                <w:szCs w:val="24"/>
              </w:rPr>
              <w:fldChar w:fldCharType="end"/>
            </w:r>
          </w:p>
        </w:sdtContent>
      </w:sdt>
    </w:sdtContent>
  </w:sdt>
  <w:p w:rsidR="003F2B91" w:rsidRDefault="003F2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B6" w:rsidRDefault="00ED46B6" w:rsidP="0071415C">
      <w:r>
        <w:separator/>
      </w:r>
    </w:p>
  </w:footnote>
  <w:footnote w:type="continuationSeparator" w:id="0">
    <w:p w:rsidR="00ED46B6" w:rsidRDefault="00ED46B6" w:rsidP="00714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D4A"/>
    <w:multiLevelType w:val="hybridMultilevel"/>
    <w:tmpl w:val="056C5CEC"/>
    <w:lvl w:ilvl="0" w:tplc="4BAEBF38">
      <w:start w:val="1"/>
      <w:numFmt w:val="lowerLetter"/>
      <w:lvlText w:val="%1)"/>
      <w:lvlJc w:val="left"/>
      <w:pPr>
        <w:ind w:left="480" w:hanging="360"/>
      </w:pPr>
      <w:rPr>
        <w:rFonts w:ascii="ＭＳ Ｐ明朝" w:eastAsia="ＭＳ Ｐ明朝" w:hAnsi="ＭＳ Ｐ明朝"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58641A3"/>
    <w:multiLevelType w:val="hybridMultilevel"/>
    <w:tmpl w:val="96F47FA8"/>
    <w:lvl w:ilvl="0" w:tplc="4A10E0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A08C3"/>
    <w:multiLevelType w:val="hybridMultilevel"/>
    <w:tmpl w:val="E74C11E8"/>
    <w:lvl w:ilvl="0" w:tplc="4B8C9BEC">
      <w:start w:val="1"/>
      <w:numFmt w:val="decimalFullWidth"/>
      <w:lvlText w:val="%1．"/>
      <w:lvlJc w:val="left"/>
      <w:pPr>
        <w:ind w:left="420" w:hanging="420"/>
      </w:pPr>
      <w:rPr>
        <w:rFonts w:hint="default"/>
      </w:rPr>
    </w:lvl>
    <w:lvl w:ilvl="1" w:tplc="461C23A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451B6"/>
    <w:multiLevelType w:val="hybridMultilevel"/>
    <w:tmpl w:val="74EC1C5A"/>
    <w:lvl w:ilvl="0" w:tplc="42D4558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E1B57"/>
    <w:multiLevelType w:val="hybridMultilevel"/>
    <w:tmpl w:val="98906748"/>
    <w:lvl w:ilvl="0" w:tplc="631CB7CC">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03"/>
    <w:rsid w:val="000047AF"/>
    <w:rsid w:val="00006D86"/>
    <w:rsid w:val="00024CA1"/>
    <w:rsid w:val="000373DF"/>
    <w:rsid w:val="00040250"/>
    <w:rsid w:val="000442ED"/>
    <w:rsid w:val="000474FB"/>
    <w:rsid w:val="00052E41"/>
    <w:rsid w:val="00062479"/>
    <w:rsid w:val="000632C3"/>
    <w:rsid w:val="00074048"/>
    <w:rsid w:val="00075ECF"/>
    <w:rsid w:val="00084147"/>
    <w:rsid w:val="00086A88"/>
    <w:rsid w:val="00097A6D"/>
    <w:rsid w:val="000A2A94"/>
    <w:rsid w:val="000E1CE6"/>
    <w:rsid w:val="000E4D68"/>
    <w:rsid w:val="000F523D"/>
    <w:rsid w:val="00114358"/>
    <w:rsid w:val="00114B86"/>
    <w:rsid w:val="00120B8B"/>
    <w:rsid w:val="00126706"/>
    <w:rsid w:val="00126F04"/>
    <w:rsid w:val="00146B65"/>
    <w:rsid w:val="00157021"/>
    <w:rsid w:val="001600C0"/>
    <w:rsid w:val="00172F41"/>
    <w:rsid w:val="00173ACA"/>
    <w:rsid w:val="00190983"/>
    <w:rsid w:val="00192860"/>
    <w:rsid w:val="001A6B08"/>
    <w:rsid w:val="001B4E85"/>
    <w:rsid w:val="001D2EC5"/>
    <w:rsid w:val="001F5C43"/>
    <w:rsid w:val="002161DB"/>
    <w:rsid w:val="0022465E"/>
    <w:rsid w:val="00241099"/>
    <w:rsid w:val="002558B3"/>
    <w:rsid w:val="002711C5"/>
    <w:rsid w:val="00284F22"/>
    <w:rsid w:val="002854B5"/>
    <w:rsid w:val="00286685"/>
    <w:rsid w:val="002874F6"/>
    <w:rsid w:val="00296FFC"/>
    <w:rsid w:val="002D35EA"/>
    <w:rsid w:val="002E3967"/>
    <w:rsid w:val="002E557B"/>
    <w:rsid w:val="002E67A2"/>
    <w:rsid w:val="002F63A9"/>
    <w:rsid w:val="002F652F"/>
    <w:rsid w:val="003077C3"/>
    <w:rsid w:val="00307912"/>
    <w:rsid w:val="00310502"/>
    <w:rsid w:val="00312C1B"/>
    <w:rsid w:val="00313395"/>
    <w:rsid w:val="00313ADC"/>
    <w:rsid w:val="00315459"/>
    <w:rsid w:val="00320D8C"/>
    <w:rsid w:val="00345EC6"/>
    <w:rsid w:val="00346B36"/>
    <w:rsid w:val="003727E8"/>
    <w:rsid w:val="00395029"/>
    <w:rsid w:val="003B61DF"/>
    <w:rsid w:val="003C1018"/>
    <w:rsid w:val="003C1D69"/>
    <w:rsid w:val="003D0FF6"/>
    <w:rsid w:val="003F2B91"/>
    <w:rsid w:val="0041572F"/>
    <w:rsid w:val="0045245C"/>
    <w:rsid w:val="00453BCB"/>
    <w:rsid w:val="0046762C"/>
    <w:rsid w:val="00470F48"/>
    <w:rsid w:val="0048359F"/>
    <w:rsid w:val="00490A07"/>
    <w:rsid w:val="00491221"/>
    <w:rsid w:val="004956C0"/>
    <w:rsid w:val="004B0A98"/>
    <w:rsid w:val="004C02C9"/>
    <w:rsid w:val="004D1D3F"/>
    <w:rsid w:val="004E2791"/>
    <w:rsid w:val="005078D0"/>
    <w:rsid w:val="00520635"/>
    <w:rsid w:val="00544353"/>
    <w:rsid w:val="005502EB"/>
    <w:rsid w:val="0055281B"/>
    <w:rsid w:val="0056349A"/>
    <w:rsid w:val="00564F13"/>
    <w:rsid w:val="00565F4E"/>
    <w:rsid w:val="00573BE8"/>
    <w:rsid w:val="00581BE1"/>
    <w:rsid w:val="00583BD5"/>
    <w:rsid w:val="005854AC"/>
    <w:rsid w:val="00594919"/>
    <w:rsid w:val="005A1E62"/>
    <w:rsid w:val="005A2256"/>
    <w:rsid w:val="005C4375"/>
    <w:rsid w:val="005C68B6"/>
    <w:rsid w:val="005D5A5D"/>
    <w:rsid w:val="005E49B0"/>
    <w:rsid w:val="005F4E71"/>
    <w:rsid w:val="005F5A72"/>
    <w:rsid w:val="006020D0"/>
    <w:rsid w:val="00620863"/>
    <w:rsid w:val="00631127"/>
    <w:rsid w:val="00634BE9"/>
    <w:rsid w:val="00640307"/>
    <w:rsid w:val="00640FEE"/>
    <w:rsid w:val="0065169E"/>
    <w:rsid w:val="00694186"/>
    <w:rsid w:val="006A5767"/>
    <w:rsid w:val="006C1938"/>
    <w:rsid w:val="006C43BD"/>
    <w:rsid w:val="006F6421"/>
    <w:rsid w:val="0071415C"/>
    <w:rsid w:val="00734C96"/>
    <w:rsid w:val="00743D52"/>
    <w:rsid w:val="00745A93"/>
    <w:rsid w:val="00762E01"/>
    <w:rsid w:val="00783783"/>
    <w:rsid w:val="007A001A"/>
    <w:rsid w:val="007D56D4"/>
    <w:rsid w:val="007E3038"/>
    <w:rsid w:val="007E3142"/>
    <w:rsid w:val="007E3AC6"/>
    <w:rsid w:val="007E79F8"/>
    <w:rsid w:val="008404C2"/>
    <w:rsid w:val="00874EC7"/>
    <w:rsid w:val="0088463D"/>
    <w:rsid w:val="008951EB"/>
    <w:rsid w:val="008961AF"/>
    <w:rsid w:val="008A1147"/>
    <w:rsid w:val="008A47D4"/>
    <w:rsid w:val="008A74A1"/>
    <w:rsid w:val="008B4CA1"/>
    <w:rsid w:val="008C5103"/>
    <w:rsid w:val="008D58EB"/>
    <w:rsid w:val="008D7562"/>
    <w:rsid w:val="008E4EB3"/>
    <w:rsid w:val="009003A7"/>
    <w:rsid w:val="009279FE"/>
    <w:rsid w:val="00927CE8"/>
    <w:rsid w:val="00927E3D"/>
    <w:rsid w:val="00947CFB"/>
    <w:rsid w:val="00950FC2"/>
    <w:rsid w:val="00954118"/>
    <w:rsid w:val="0095576D"/>
    <w:rsid w:val="00983574"/>
    <w:rsid w:val="009A1000"/>
    <w:rsid w:val="009A2635"/>
    <w:rsid w:val="009B37C9"/>
    <w:rsid w:val="009B6004"/>
    <w:rsid w:val="00A055F3"/>
    <w:rsid w:val="00A26E3F"/>
    <w:rsid w:val="00A37B17"/>
    <w:rsid w:val="00A41DEE"/>
    <w:rsid w:val="00A5048F"/>
    <w:rsid w:val="00A70B24"/>
    <w:rsid w:val="00A74580"/>
    <w:rsid w:val="00A97E76"/>
    <w:rsid w:val="00AA38E1"/>
    <w:rsid w:val="00AE5CD3"/>
    <w:rsid w:val="00AF2E22"/>
    <w:rsid w:val="00B10675"/>
    <w:rsid w:val="00B16331"/>
    <w:rsid w:val="00B24F80"/>
    <w:rsid w:val="00B270D1"/>
    <w:rsid w:val="00B312EF"/>
    <w:rsid w:val="00B314F2"/>
    <w:rsid w:val="00B44E20"/>
    <w:rsid w:val="00B459F0"/>
    <w:rsid w:val="00B54540"/>
    <w:rsid w:val="00B678DC"/>
    <w:rsid w:val="00B719A4"/>
    <w:rsid w:val="00B74BE1"/>
    <w:rsid w:val="00B81480"/>
    <w:rsid w:val="00B84D9E"/>
    <w:rsid w:val="00BA019F"/>
    <w:rsid w:val="00BB7EE0"/>
    <w:rsid w:val="00BC15CD"/>
    <w:rsid w:val="00BD2858"/>
    <w:rsid w:val="00BE391F"/>
    <w:rsid w:val="00BE7637"/>
    <w:rsid w:val="00BF35E8"/>
    <w:rsid w:val="00C05564"/>
    <w:rsid w:val="00C3421C"/>
    <w:rsid w:val="00C36D0D"/>
    <w:rsid w:val="00C62217"/>
    <w:rsid w:val="00C6377D"/>
    <w:rsid w:val="00C75A57"/>
    <w:rsid w:val="00C805C7"/>
    <w:rsid w:val="00CA04C2"/>
    <w:rsid w:val="00CA6870"/>
    <w:rsid w:val="00CD1142"/>
    <w:rsid w:val="00CD149A"/>
    <w:rsid w:val="00CD2F70"/>
    <w:rsid w:val="00CE0959"/>
    <w:rsid w:val="00CE41AE"/>
    <w:rsid w:val="00CE6D21"/>
    <w:rsid w:val="00CF1F91"/>
    <w:rsid w:val="00CF64C3"/>
    <w:rsid w:val="00CF665F"/>
    <w:rsid w:val="00D24AA0"/>
    <w:rsid w:val="00D27A80"/>
    <w:rsid w:val="00D63243"/>
    <w:rsid w:val="00D65150"/>
    <w:rsid w:val="00D83BE2"/>
    <w:rsid w:val="00D84893"/>
    <w:rsid w:val="00D86F3C"/>
    <w:rsid w:val="00D9311F"/>
    <w:rsid w:val="00D972D5"/>
    <w:rsid w:val="00D973A2"/>
    <w:rsid w:val="00DA130B"/>
    <w:rsid w:val="00DB0358"/>
    <w:rsid w:val="00DB6EA5"/>
    <w:rsid w:val="00DD7F87"/>
    <w:rsid w:val="00DE0BF8"/>
    <w:rsid w:val="00DE42A6"/>
    <w:rsid w:val="00DE631B"/>
    <w:rsid w:val="00DF678B"/>
    <w:rsid w:val="00DF6D23"/>
    <w:rsid w:val="00E10C2F"/>
    <w:rsid w:val="00E156A3"/>
    <w:rsid w:val="00E237E9"/>
    <w:rsid w:val="00E50B52"/>
    <w:rsid w:val="00E53020"/>
    <w:rsid w:val="00E57F21"/>
    <w:rsid w:val="00E8734A"/>
    <w:rsid w:val="00EA2118"/>
    <w:rsid w:val="00EA21BB"/>
    <w:rsid w:val="00EA6F23"/>
    <w:rsid w:val="00EC29FA"/>
    <w:rsid w:val="00ED46B6"/>
    <w:rsid w:val="00EF6170"/>
    <w:rsid w:val="00F101EB"/>
    <w:rsid w:val="00F11F2D"/>
    <w:rsid w:val="00F23DC3"/>
    <w:rsid w:val="00F2619D"/>
    <w:rsid w:val="00F67A65"/>
    <w:rsid w:val="00F7362F"/>
    <w:rsid w:val="00F7622B"/>
    <w:rsid w:val="00F80092"/>
    <w:rsid w:val="00F801D0"/>
    <w:rsid w:val="00F839A8"/>
    <w:rsid w:val="00F90659"/>
    <w:rsid w:val="00F937AD"/>
    <w:rsid w:val="00FA5DEA"/>
    <w:rsid w:val="00FD6DB7"/>
    <w:rsid w:val="00FD6EDA"/>
    <w:rsid w:val="00FE0DE2"/>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4A30CF-EC8A-4D3E-BC8E-E8C2F199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15C"/>
    <w:pPr>
      <w:tabs>
        <w:tab w:val="center" w:pos="4252"/>
        <w:tab w:val="right" w:pos="8504"/>
      </w:tabs>
      <w:snapToGrid w:val="0"/>
    </w:pPr>
  </w:style>
  <w:style w:type="character" w:customStyle="1" w:styleId="a4">
    <w:name w:val="ヘッダー (文字)"/>
    <w:basedOn w:val="a0"/>
    <w:link w:val="a3"/>
    <w:uiPriority w:val="99"/>
    <w:rsid w:val="0071415C"/>
  </w:style>
  <w:style w:type="paragraph" w:styleId="a5">
    <w:name w:val="footer"/>
    <w:basedOn w:val="a"/>
    <w:link w:val="a6"/>
    <w:uiPriority w:val="99"/>
    <w:unhideWhenUsed/>
    <w:rsid w:val="0071415C"/>
    <w:pPr>
      <w:tabs>
        <w:tab w:val="center" w:pos="4252"/>
        <w:tab w:val="right" w:pos="8504"/>
      </w:tabs>
      <w:snapToGrid w:val="0"/>
    </w:pPr>
  </w:style>
  <w:style w:type="character" w:customStyle="1" w:styleId="a6">
    <w:name w:val="フッター (文字)"/>
    <w:basedOn w:val="a0"/>
    <w:link w:val="a5"/>
    <w:uiPriority w:val="99"/>
    <w:rsid w:val="0071415C"/>
  </w:style>
  <w:style w:type="paragraph" w:styleId="a7">
    <w:name w:val="Balloon Text"/>
    <w:basedOn w:val="a"/>
    <w:link w:val="a8"/>
    <w:uiPriority w:val="99"/>
    <w:semiHidden/>
    <w:unhideWhenUsed/>
    <w:rsid w:val="00006D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D86"/>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594919"/>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94919"/>
    <w:rPr>
      <w:rFonts w:ascii="ＭＳ ゴシック" w:eastAsia="ＭＳ ゴシック" w:hAnsi="Courier New" w:cs="Courier New"/>
      <w:sz w:val="20"/>
      <w:szCs w:val="21"/>
    </w:rPr>
  </w:style>
  <w:style w:type="table" w:styleId="ab">
    <w:name w:val="Table Grid"/>
    <w:basedOn w:val="a1"/>
    <w:uiPriority w:val="39"/>
    <w:rsid w:val="00C3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2E67A2"/>
    <w:pPr>
      <w:jc w:val="right"/>
    </w:pPr>
    <w:rPr>
      <w:rFonts w:ascii="ＭＳ 明朝" w:hAnsi="ＭＳ 明朝"/>
    </w:rPr>
  </w:style>
  <w:style w:type="character" w:customStyle="1" w:styleId="ad">
    <w:name w:val="結語 (文字)"/>
    <w:basedOn w:val="a0"/>
    <w:link w:val="ac"/>
    <w:uiPriority w:val="99"/>
    <w:rsid w:val="002E67A2"/>
    <w:rPr>
      <w:rFonts w:ascii="ＭＳ 明朝" w:hAnsi="ＭＳ 明朝"/>
    </w:rPr>
  </w:style>
  <w:style w:type="paragraph" w:styleId="Web">
    <w:name w:val="Normal (Web)"/>
    <w:basedOn w:val="a"/>
    <w:uiPriority w:val="99"/>
    <w:semiHidden/>
    <w:unhideWhenUsed/>
    <w:rsid w:val="002E67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A70B24"/>
    <w:pPr>
      <w:ind w:left="840"/>
    </w:pPr>
  </w:style>
  <w:style w:type="paragraph" w:customStyle="1" w:styleId="Default">
    <w:name w:val="Default"/>
    <w:rsid w:val="00CE41AE"/>
    <w:pPr>
      <w:widowControl w:val="0"/>
      <w:autoSpaceDE w:val="0"/>
      <w:autoSpaceDN w:val="0"/>
      <w:adjustRightInd w:val="0"/>
    </w:pPr>
    <w:rPr>
      <w:rFonts w:ascii="ＭＳ" w:eastAsia="ＭＳ" w:cs="ＭＳ"/>
      <w:color w:val="000000"/>
      <w:kern w:val="0"/>
      <w:sz w:val="24"/>
      <w:szCs w:val="24"/>
    </w:rPr>
  </w:style>
  <w:style w:type="paragraph" w:styleId="af">
    <w:name w:val="caption"/>
    <w:basedOn w:val="a"/>
    <w:next w:val="a"/>
    <w:uiPriority w:val="35"/>
    <w:semiHidden/>
    <w:unhideWhenUsed/>
    <w:qFormat/>
    <w:rsid w:val="008D756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640">
      <w:bodyDiv w:val="1"/>
      <w:marLeft w:val="0"/>
      <w:marRight w:val="0"/>
      <w:marTop w:val="0"/>
      <w:marBottom w:val="0"/>
      <w:divBdr>
        <w:top w:val="none" w:sz="0" w:space="0" w:color="auto"/>
        <w:left w:val="none" w:sz="0" w:space="0" w:color="auto"/>
        <w:bottom w:val="none" w:sz="0" w:space="0" w:color="auto"/>
        <w:right w:val="none" w:sz="0" w:space="0" w:color="auto"/>
      </w:divBdr>
    </w:div>
    <w:div w:id="177014236">
      <w:bodyDiv w:val="1"/>
      <w:marLeft w:val="0"/>
      <w:marRight w:val="0"/>
      <w:marTop w:val="0"/>
      <w:marBottom w:val="0"/>
      <w:divBdr>
        <w:top w:val="none" w:sz="0" w:space="0" w:color="auto"/>
        <w:left w:val="none" w:sz="0" w:space="0" w:color="auto"/>
        <w:bottom w:val="none" w:sz="0" w:space="0" w:color="auto"/>
        <w:right w:val="none" w:sz="0" w:space="0" w:color="auto"/>
      </w:divBdr>
    </w:div>
    <w:div w:id="268582086">
      <w:bodyDiv w:val="1"/>
      <w:marLeft w:val="0"/>
      <w:marRight w:val="0"/>
      <w:marTop w:val="0"/>
      <w:marBottom w:val="0"/>
      <w:divBdr>
        <w:top w:val="none" w:sz="0" w:space="0" w:color="auto"/>
        <w:left w:val="none" w:sz="0" w:space="0" w:color="auto"/>
        <w:bottom w:val="none" w:sz="0" w:space="0" w:color="auto"/>
        <w:right w:val="none" w:sz="0" w:space="0" w:color="auto"/>
      </w:divBdr>
    </w:div>
    <w:div w:id="480853907">
      <w:bodyDiv w:val="1"/>
      <w:marLeft w:val="0"/>
      <w:marRight w:val="0"/>
      <w:marTop w:val="0"/>
      <w:marBottom w:val="0"/>
      <w:divBdr>
        <w:top w:val="none" w:sz="0" w:space="0" w:color="auto"/>
        <w:left w:val="none" w:sz="0" w:space="0" w:color="auto"/>
        <w:bottom w:val="none" w:sz="0" w:space="0" w:color="auto"/>
        <w:right w:val="none" w:sz="0" w:space="0" w:color="auto"/>
      </w:divBdr>
    </w:div>
    <w:div w:id="809783991">
      <w:bodyDiv w:val="1"/>
      <w:marLeft w:val="0"/>
      <w:marRight w:val="0"/>
      <w:marTop w:val="0"/>
      <w:marBottom w:val="0"/>
      <w:divBdr>
        <w:top w:val="none" w:sz="0" w:space="0" w:color="auto"/>
        <w:left w:val="none" w:sz="0" w:space="0" w:color="auto"/>
        <w:bottom w:val="none" w:sz="0" w:space="0" w:color="auto"/>
        <w:right w:val="none" w:sz="0" w:space="0" w:color="auto"/>
      </w:divBdr>
    </w:div>
    <w:div w:id="1165975305">
      <w:bodyDiv w:val="1"/>
      <w:marLeft w:val="0"/>
      <w:marRight w:val="0"/>
      <w:marTop w:val="0"/>
      <w:marBottom w:val="0"/>
      <w:divBdr>
        <w:top w:val="none" w:sz="0" w:space="0" w:color="auto"/>
        <w:left w:val="none" w:sz="0" w:space="0" w:color="auto"/>
        <w:bottom w:val="none" w:sz="0" w:space="0" w:color="auto"/>
        <w:right w:val="none" w:sz="0" w:space="0" w:color="auto"/>
      </w:divBdr>
    </w:div>
    <w:div w:id="1427462136">
      <w:bodyDiv w:val="1"/>
      <w:marLeft w:val="0"/>
      <w:marRight w:val="0"/>
      <w:marTop w:val="0"/>
      <w:marBottom w:val="0"/>
      <w:divBdr>
        <w:top w:val="none" w:sz="0" w:space="0" w:color="auto"/>
        <w:left w:val="none" w:sz="0" w:space="0" w:color="auto"/>
        <w:bottom w:val="none" w:sz="0" w:space="0" w:color="auto"/>
        <w:right w:val="none" w:sz="0" w:space="0" w:color="auto"/>
      </w:divBdr>
    </w:div>
    <w:div w:id="1874033363">
      <w:bodyDiv w:val="1"/>
      <w:marLeft w:val="0"/>
      <w:marRight w:val="0"/>
      <w:marTop w:val="0"/>
      <w:marBottom w:val="0"/>
      <w:divBdr>
        <w:top w:val="none" w:sz="0" w:space="0" w:color="auto"/>
        <w:left w:val="none" w:sz="0" w:space="0" w:color="auto"/>
        <w:bottom w:val="none" w:sz="0" w:space="0" w:color="auto"/>
        <w:right w:val="none" w:sz="0" w:space="0" w:color="auto"/>
      </w:divBdr>
    </w:div>
    <w:div w:id="1894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1C419-555D-4BD6-B868-50FC7FE8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dc:creator>
  <cp:lastModifiedBy>中尾眞</cp:lastModifiedBy>
  <cp:revision>3</cp:revision>
  <cp:lastPrinted>2014-01-16T13:46:00Z</cp:lastPrinted>
  <dcterms:created xsi:type="dcterms:W3CDTF">2018-08-23T06:28:00Z</dcterms:created>
  <dcterms:modified xsi:type="dcterms:W3CDTF">2018-08-23T06:31:00Z</dcterms:modified>
</cp:coreProperties>
</file>